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eastAsia="Microsoft YaHei"/>
          <w:b/>
          <w:bCs/>
          <w:i w:val="false"/>
          <w:iCs w:val="false"/>
          <w:color w:val="0D6E7A"/>
          <w:sz w:val="19"/>
          <w:szCs w:val="19"/>
        </w:rPr>
        <w:t xml:space="preserve">PanPanTech</w:t>
      </w:r>
      <w:r>
        <w:rPr>
          <w:rFonts w:ascii="Calibri" w:eastAsia="Microsoft YaHei"/>
          <w:b w:val="false"/>
          <w:bCs w:val="false"/>
          <w:i w:val="false"/>
          <w:iCs w:val="false"/>
          <w:color w:val="0D6E7A"/>
          <w:sz w:val="12"/>
          <w:szCs w:val="12"/>
        </w:rPr>
        <w:t xml:space="preserve">®</w:t>
      </w:r>
      <w:r>
        <w:rPr>
          <w:rFonts w:ascii="Calibri" w:eastAsia="Microsoft YaHei"/>
          <w:b w:val="false"/>
          <w:bCs w:val="false"/>
          <w:i w:val="false"/>
          <w:iCs w:val="false"/>
          <w:color w:val="5C6874"/>
          <w:sz w:val="16"/>
          <w:szCs w:val="16"/>
        </w:rPr>
        <w:t xml:space="preserve">      Pyroglaux People Counting</w:t>
      </w:r>
    </w:p>
    <w:p>
      <w:pPr>
        <w:spacing w:after="30"/>
      </w:pPr>
      <w:r>
        <w:rPr>
          <w:rFonts w:ascii="Calibri" w:eastAsia="Microsoft YaHei"/>
          <w:b/>
          <w:bCs/>
          <w:i w:val="false"/>
          <w:iCs w:val="false"/>
          <w:color w:val="1B2229"/>
          <w:sz w:val="34"/>
          <w:szCs w:val="34"/>
        </w:rPr>
        <w:t xml:space="preserve">PFC-R25 产品规格书</w:t>
      </w:r>
    </w:p>
    <w:p>
      <w:pPr>
        <w:pBdr>
          <w:bottom w:val="single" w:color="0D6E7A" w:sz="12" w:space="6"/>
        </w:pBdr>
        <w:spacing w:after="200"/>
      </w:pPr>
      <w:r>
        <w:rPr>
          <w:rFonts w:ascii="Calibri" w:eastAsia="Microsoft YaHei"/>
          <w:b w:val="false"/>
          <w:bCs w:val="false"/>
          <w:i w:val="false"/>
          <w:iCs w:val="false"/>
          <w:color w:val="5C6874"/>
          <w:sz w:val="16"/>
          <w:szCs w:val="16"/>
        </w:rPr>
        <w:t xml:space="preserve">Product Data Sheet　·　大视场 AI 客流传感器　·　v1.1　·　2026-09　·　广州攀攀科技有限公司</w:t>
      </w:r>
    </w:p>
    <w:p>
      <w:pPr>
        <w:spacing w:after="20" w:before="0" w:line="265"/>
      </w:pPr>
      <w:r>
        <w:rPr>
          <w:rFonts w:ascii="Calibri" w:eastAsia="Microsoft YaHei"/>
          <w:b/>
          <w:bCs/>
          <w:i w:val="false"/>
          <w:iCs w:val="false"/>
          <w:color w:val="0D6E7A"/>
          <w:sz w:val="26"/>
          <w:szCs w:val="26"/>
        </w:rPr>
        <w:t xml:space="preserve">大视场 AI 客流传感器</w:t>
      </w:r>
    </w:p>
    <w:p>
      <w:pPr>
        <w:spacing w:after="160" w:before="0" w:line="265"/>
      </w:pPr>
      <w:r>
        <w:rPr>
          <w:rFonts w:ascii="Calibri" w:eastAsia="Microsoft YaHei"/>
          <w:b w:val="false"/>
          <w:bCs w:val="false"/>
          <w:i w:val="false"/>
          <w:iCs w:val="false"/>
          <w:color w:val="5C6874"/>
          <w:sz w:val="18"/>
          <w:szCs w:val="18"/>
        </w:rPr>
        <w:t xml:space="preserve">零售 · 交通枢纽 · 场馆 · 唯一访客与人群画像</w:t>
      </w:r>
    </w:p>
    <w:tbl>
      <w:tblPr>
        <w:tblW w:type="dxa" w:w="8800"/>
        <w:tblBorders>
          <w:top w:val="single" w:color="C9D2D8" w:sz="4"/>
          <w:left w:val="single" w:color="C9D2D8" w:sz="4"/>
          <w:bottom w:val="single" w:color="C9D2D8" w:sz="4"/>
          <w:right w:val="single" w:color="C9D2D8" w:sz="4"/>
          <w:insideH w:val="single" w:color="C9D2D8" w:sz="2"/>
          <w:insideV w:val="single" w:color="C9D2D8" w:sz="2"/>
        </w:tblBorders>
      </w:tblPr>
      <w:tblGrid>
        <w:gridCol w:w="3050"/>
        <w:gridCol w:w="5750"/>
      </w:tblGrid>
      <w:tr>
        <w:trPr>
          <w:cantSplit/>
        </w:trPr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90"/>
            </w:tcMar>
            <w:vAlign w:val="center"/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1905000" cy="1047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65"/>
              <w:jc w:val="center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5"/>
                <w:szCs w:val="15"/>
              </w:rPr>
              <w:t xml:space="preserve">PFC-R25 · 143 × 70 × 40 mm</w:t>
            </w:r>
          </w:p>
        </w:tc>
        <w:tc>
          <w:tcPr>
            <w:tcW w:type="dxa" w:w="5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spacing w:after="0" w:before="0" w:line="28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9"/>
                <w:szCs w:val="19"/>
              </w:rPr>
              <w:t xml:space="preserve">PFC-R25 在大视场平台上叠了一层设备端 AI：年龄段、性别、人员类型，以及跨相机 ReID 去重——同一名访客经过多个出入口只算一次。当客户的问题不只是「来了多少人」，而是「来了多少个人、是谁、来过几次」时，报这一款。软件自动变焦让一台设备自适应 1.9–6.0 m 的安装高度，选型时不必再纠结层高。</w:t>
            </w:r>
          </w:p>
        </w:tc>
      </w:tr>
    </w:tbl>
    <w:p>
      <w:pPr>
        <w:pStyle w:val="Heading2"/>
        <w:pBdr>
          <w:bottom w:val="single" w:color="0D6E7A" w:sz="8" w:space="4"/>
        </w:pBdr>
        <w:spacing w:after="95" w:before="230"/>
      </w:pPr>
      <w:r>
        <w:rPr>
          <w:rFonts w:ascii="Calibri" w:eastAsia="Microsoft YaHei"/>
          <w:b/>
          <w:bCs/>
          <w:i w:val="false"/>
          <w:iCs w:val="false"/>
          <w:color w:val="1B2229"/>
          <w:sz w:val="23"/>
          <w:szCs w:val="23"/>
        </w:rPr>
        <w:t xml:space="preserve">1  核心特性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/>
          <w:bCs/>
          <w:i w:val="false"/>
          <w:iCs w:val="false"/>
          <w:color w:val="1B2229"/>
          <w:sz w:val="18"/>
          <w:szCs w:val="18"/>
        </w:rPr>
        <w:t xml:space="preserve">计数准确率 ≥ 98%。</w:t>
      </w: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制造方标称 ≥ 99%，在取得独立实测数据前，攀攀对外一律按 ≥ 98% 报，宁可低报。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性别识别准确率 95%，年龄段识别准确率 80%，按厂商自有基准。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跨相机 ReID 去重：输出唯一访客数，而不是门次数。多出入口场所这是转化率分母能不能算准的关键。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非顾客分类：可区分员工、骑手、快递员，把这部分人从客流中剔除，转化率分母不再靠估算扣减。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软件自动变焦，一台设备自适应 1.9–6.0 m 安装高度，最大覆盖宽度 8.4 m，省去按层高选型的麻烦。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IP65 防护，−25 °C 起的工作温度，室内室外同一款设备。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PoE 单线供电与传输，内置 Wi-Fi，支持远程管理与固件升级，一般无需现场维护。</w:t>
      </w:r>
    </w:p>
    <w:p>
      <w:pPr>
        <w:pStyle w:val="Heading2"/>
        <w:pBdr>
          <w:bottom w:val="single" w:color="0D6E7A" w:sz="8" w:space="4"/>
        </w:pBdr>
        <w:spacing w:after="95" w:before="230"/>
      </w:pPr>
      <w:r>
        <w:rPr>
          <w:rFonts w:ascii="Calibri" w:eastAsia="Microsoft YaHei"/>
          <w:b/>
          <w:bCs/>
          <w:i w:val="false"/>
          <w:iCs w:val="false"/>
          <w:color w:val="1B2229"/>
          <w:sz w:val="23"/>
          <w:szCs w:val="23"/>
        </w:rPr>
        <w:t xml:space="preserve">2  安装高度与覆盖宽度</w:t>
      </w:r>
    </w:p>
    <w:tbl>
      <w:tblPr>
        <w:tblW w:type="dxa" w:w="4600"/>
        <w:tblBorders>
          <w:top w:val="single" w:color="C9D2D8" w:sz="4"/>
          <w:left w:val="single" w:color="C9D2D8" w:sz="4"/>
          <w:bottom w:val="single" w:color="C9D2D8" w:sz="4"/>
          <w:right w:val="single" w:color="C9D2D8" w:sz="4"/>
          <w:insideH w:val="single" w:color="C9D2D8" w:sz="2"/>
          <w:insideV w:val="single" w:color="C9D2D8" w:sz="2"/>
        </w:tblBorders>
      </w:tblPr>
      <w:tblGrid>
        <w:gridCol w:w="2300"/>
        <w:gridCol w:w="2300"/>
      </w:tblGrid>
      <w:tr>
        <w:trPr>
          <w:cantSplit/>
          <w:tblHeader/>
        </w:trPr>
        <w:tc>
          <w:tcPr>
            <w:tcW w:type="dxa" w:w="2300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6"/>
                <w:szCs w:val="16"/>
              </w:rPr>
              <w:t xml:space="preserve">安装高度</w:t>
            </w:r>
          </w:p>
        </w:tc>
        <w:tc>
          <w:tcPr>
            <w:tcW w:type="dxa" w:w="2300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6"/>
                <w:szCs w:val="16"/>
              </w:rPr>
              <w:t xml:space="preserve">最大覆盖宽度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1.9 m</w:t>
            </w:r>
          </w:p>
        </w:tc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1.1 m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2.5 m</w:t>
            </w:r>
          </w:p>
        </w:tc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3.7 m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3.0 m</w:t>
            </w:r>
          </w:p>
        </w:tc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5.2 m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3.5 m</w:t>
            </w:r>
          </w:p>
        </w:tc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6.4 m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4.0 m</w:t>
            </w:r>
          </w:p>
        </w:tc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7.3 m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4.5 m</w:t>
            </w:r>
          </w:p>
        </w:tc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8.0 m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5.0 – 6.0 m</w:t>
            </w:r>
          </w:p>
        </w:tc>
        <w:tc>
          <w:tcPr>
            <w:tcW w:type="dxa" w:w="23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8.4 m</w:t>
            </w:r>
          </w:p>
        </w:tc>
      </w:tr>
    </w:tbl>
    <w:p>
      <w:pPr>
        <w:spacing w:after="7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2"/>
          <w:szCs w:val="2"/>
        </w:rPr>
        <w:t xml:space="preserve"> </w:t>
      </w:r>
    </w:p>
    <w:p>
      <w:pPr>
        <w:spacing w:after="90" w:before="0" w:line="265"/>
      </w:pPr>
      <w:r>
        <w:rPr>
          <w:rFonts w:ascii="Calibri" w:eastAsia="Microsoft YaHei"/>
          <w:b w:val="false"/>
          <w:bCs w:val="false"/>
          <w:i w:val="false"/>
          <w:iCs w:val="false"/>
          <w:color w:val="5C6874"/>
          <w:sz w:val="18"/>
          <w:szCs w:val="18"/>
        </w:rPr>
        <w:t xml:space="preserve">超出该高度范围会影响统计精度，此时规格书上的准确率数字不再适用。门宽超过单台覆盖时应多台拼接，不要靠装高来凑覆盖。</w:t>
      </w:r>
    </w:p>
    <w:p>
      <w:pPr>
        <w:pStyle w:val="Heading2"/>
        <w:pBdr>
          <w:bottom w:val="single" w:color="0D6E7A" w:sz="8" w:space="4"/>
        </w:pBdr>
        <w:spacing w:after="95" w:before="230"/>
      </w:pPr>
      <w:r>
        <w:rPr>
          <w:rFonts w:ascii="Calibri" w:eastAsia="Microsoft YaHei"/>
          <w:b/>
          <w:bCs/>
          <w:i w:val="false"/>
          <w:iCs w:val="false"/>
          <w:color w:val="1B2229"/>
          <w:sz w:val="23"/>
          <w:szCs w:val="23"/>
        </w:rPr>
        <w:t xml:space="preserve">3  技术参数</w:t>
      </w:r>
    </w:p>
    <w:tbl>
      <w:tblPr>
        <w:tblW w:type="dxa" w:w="8800"/>
        <w:tblBorders>
          <w:top w:val="single" w:color="C9D2D8" w:sz="4"/>
          <w:left w:val="single" w:color="C9D2D8" w:sz="4"/>
          <w:bottom w:val="single" w:color="C9D2D8" w:sz="4"/>
          <w:right w:val="single" w:color="C9D2D8" w:sz="4"/>
          <w:insideH w:val="single" w:color="C9D2D8" w:sz="2"/>
          <w:insideV w:val="single" w:color="C9D2D8" w:sz="2"/>
        </w:tblBorders>
      </w:tblPr>
      <w:tblGrid>
        <w:gridCol w:w="3000"/>
        <w:gridCol w:w="5800"/>
      </w:tblGrid>
      <w:tr>
        <w:trPr>
          <w:cantSplit/>
        </w:trPr>
        <w:tc>
          <w:tcPr>
            <w:tcW w:type="dxa" w:w="8800"/>
            <w:gridSpan w:val="2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7"/>
                <w:szCs w:val="17"/>
              </w:rPr>
              <w:t xml:space="preserve">图像传感器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传感器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1/3" Progressive Scan CMOS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图像分辨率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1920 × 1080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像素尺寸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2.7 µm × 2.7 µm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图像输出格式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RAW RGB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镜头焦距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1.0 mm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焦距调节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软件自动变焦</w:t>
            </w:r>
          </w:p>
        </w:tc>
      </w:tr>
      <w:tr>
        <w:trPr>
          <w:cantSplit/>
        </w:trPr>
        <w:tc>
          <w:tcPr>
            <w:tcW w:type="dxa" w:w="8800"/>
            <w:gridSpan w:val="2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7"/>
                <w:szCs w:val="17"/>
              </w:rPr>
              <w:t xml:space="preserve">视觉参数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感知原理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双目立体视觉深度 + AI 头肩检测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视场角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水平 140° · 垂直 120°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帧率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25 fps</w:t>
            </w:r>
          </w:p>
        </w:tc>
      </w:tr>
      <w:tr>
        <w:trPr>
          <w:cantSplit/>
        </w:trPr>
        <w:tc>
          <w:tcPr>
            <w:tcW w:type="dxa" w:w="8800"/>
            <w:gridSpan w:val="2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7"/>
                <w:szCs w:val="17"/>
              </w:rPr>
              <w:t xml:space="preserve">功能与 AI 参数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计数准确率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≥ 98%（制造方标称 ≥ 99%）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性别识别准确率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95%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年龄识别准确率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80%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跨相机去重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设备端 ReID，输出唯一访客数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人员类型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顾客 / 员工 / 骑手 / 快递员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轮椅检测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支持，定制功能，默认不开启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安装高度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1.9 – 6.0 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覆盖范围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1.1 – 8.4 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滤除高度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0.5 – 1.2 m</w:t>
            </w:r>
          </w:p>
        </w:tc>
      </w:tr>
      <w:tr>
        <w:trPr>
          <w:cantSplit/>
        </w:trPr>
        <w:tc>
          <w:tcPr>
            <w:tcW w:type="dxa" w:w="8800"/>
            <w:gridSpan w:val="2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7"/>
                <w:szCs w:val="17"/>
              </w:rPr>
              <w:t xml:space="preserve">技术参数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功率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3.2 – 3.6 W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供电方式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PoE (IEEE 802.3af/at) / DC-12V / DC-24V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网络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超 5 类屏蔽网线及以上 / Wi-Fi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寻址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静态 IP / DHCP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离线缓存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90 天，恢复连接后自动补传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数据上传方式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HTTP POST / HTTPS POST / FTP / SFTP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数据扩展接口 / 信号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RS-485 × 1 · 6–24 V IO 输入 × 1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视频接口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RTSP / RTMP（调试用）</w:t>
            </w:r>
          </w:p>
        </w:tc>
      </w:tr>
      <w:tr>
        <w:trPr>
          <w:cantSplit/>
        </w:trPr>
        <w:tc>
          <w:tcPr>
            <w:tcW w:type="dxa" w:w="8800"/>
            <w:gridSpan w:val="2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7"/>
                <w:szCs w:val="17"/>
              </w:rPr>
              <w:t xml:space="preserve">工作环境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防护等级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IP65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工作温度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−25 – 50 °C（塑料后盖）· −25 – 75 °C（金属后盖）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储存温度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−40 – 80 °C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相对湿度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20 – 80 %</w:t>
            </w:r>
          </w:p>
        </w:tc>
      </w:tr>
      <w:tr>
        <w:trPr>
          <w:cantSplit/>
        </w:trPr>
        <w:tc>
          <w:tcPr>
            <w:tcW w:type="dxa" w:w="8800"/>
            <w:gridSpan w:val="2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7"/>
                <w:szCs w:val="17"/>
              </w:rPr>
              <w:t xml:space="preserve">规格与安装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结构尺寸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143 × 70 × 40 mm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重量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334 g（塑料后盖）· 430 g（金属后盖）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安装方式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贴顶安装 / 吊装 / 嵌入式安装</w:t>
            </w:r>
          </w:p>
        </w:tc>
      </w:tr>
      <w:tr>
        <w:trPr>
          <w:cantSplit/>
        </w:trPr>
        <w:tc>
          <w:tcPr>
            <w:tcW w:type="dxa" w:w="8800"/>
            <w:gridSpan w:val="2"/>
            <w:shd w:fill="EEF4F5" w:color="auto" w:val="clear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/>
                <w:bCs/>
                <w:i w:val="false"/>
                <w:iCs w:val="false"/>
                <w:color w:val="0D6E7A"/>
                <w:sz w:val="17"/>
                <w:szCs w:val="17"/>
              </w:rPr>
              <w:t xml:space="preserve">发货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包装尺寸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24 × 11 × 9.5 cm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包装重量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524 g（塑料后盖）· 620 g（金属后盖）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包装尺寸（含适配器）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19.5 × 18.5 × 10 cm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5C6874"/>
                <w:sz w:val="16"/>
                <w:szCs w:val="16"/>
              </w:rPr>
              <w:t xml:space="preserve">包装重量（含适配器）</w:t>
            </w:r>
          </w:p>
        </w:tc>
        <w:tc>
          <w:tcPr>
            <w:tcW w:type="dxa" w:w="5800"/>
            <w:tcMar>
              <w:top w:type="dxa" w:w="48"/>
              <w:left w:type="dxa" w:w="85"/>
              <w:bottom w:type="dxa" w:w="48"/>
              <w:right w:type="dxa" w:w="85"/>
            </w:tcMar>
            <w:vAlign w:val="center"/>
          </w:tcPr>
          <w:p>
            <w:pPr>
              <w:spacing w:after="18" w:before="0" w:line="265"/>
            </w:pPr>
            <w:r>
              <w:rPr>
                <w:rFonts w:ascii="Calibri" w:eastAsia="Microsoft YaHei"/>
                <w:b w:val="false"/>
                <w:bCs w:val="false"/>
                <w:i w:val="false"/>
                <w:iCs w:val="false"/>
                <w:color w:val="1B2229"/>
                <w:sz w:val="16"/>
                <w:szCs w:val="16"/>
              </w:rPr>
              <w:t xml:space="preserve">674 g（塑料后盖）· 770 g（金属后盖）</w:t>
            </w:r>
          </w:p>
        </w:tc>
      </w:tr>
    </w:tbl>
    <w:p>
      <w:pPr>
        <w:pStyle w:val="Heading2"/>
        <w:pBdr>
          <w:bottom w:val="single" w:color="0D6E7A" w:sz="8" w:space="4"/>
        </w:pBdr>
        <w:spacing w:after="95" w:before="230"/>
      </w:pPr>
      <w:r>
        <w:rPr>
          <w:rFonts w:ascii="Calibri" w:eastAsia="Microsoft YaHei"/>
          <w:b/>
          <w:bCs/>
          <w:i w:val="false"/>
          <w:iCs w:val="false"/>
          <w:color w:val="1B2229"/>
          <w:sz w:val="23"/>
          <w:szCs w:val="23"/>
        </w:rPr>
        <w:t xml:space="preserve">4  数据输出与对接</w:t>
      </w:r>
    </w:p>
    <w:p>
      <w:pPr>
        <w:spacing w:after="90" w:before="0" w:line="265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9"/>
          <w:szCs w:val="19"/>
        </w:rPr>
        <w:t xml:space="preserve">每条事件以 JSON 格式推送到你指定的接收地址：设备 SN、时间戳、事件类型（进入／离开／经过／折返）、停留时长，开启 AI 属性后另含年龄段、性别、身高与工牌检测结果。跨相机去重结果通过独立的 ReID 推送接口输出，含原始人次、重复人次与去重后人次三个数。完整协议见《PFC-R25 客流数据上传协议》与《PFC-R25 实时去重与 ReID 数据推送协议》，随首单提供测试端点与配置说明。</w:t>
      </w:r>
    </w:p>
    <w:p>
      <w:pPr>
        <w:pStyle w:val="Heading2"/>
        <w:pBdr>
          <w:bottom w:val="single" w:color="0D6E7A" w:sz="8" w:space="4"/>
        </w:pBdr>
        <w:spacing w:after="95" w:before="230"/>
      </w:pPr>
      <w:r>
        <w:rPr>
          <w:rFonts w:ascii="Calibri" w:eastAsia="Microsoft YaHei"/>
          <w:b/>
          <w:bCs/>
          <w:i w:val="false"/>
          <w:iCs w:val="false"/>
          <w:color w:val="1B2229"/>
          <w:sz w:val="23"/>
          <w:szCs w:val="23"/>
        </w:rPr>
        <w:t xml:space="preserve">5  隐私</w:t>
      </w:r>
    </w:p>
    <w:p>
      <w:pPr>
        <w:spacing w:after="90" w:before="0" w:line="265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9"/>
          <w:szCs w:val="19"/>
        </w:rPr>
        <w:t xml:space="preserve">AI 功能关闭时，PFC-R25 与本系列其他型号一样在深度图上计数：测量经过目标的形状与高度，输出计数与时间戳，不保存图像。</w:t>
      </w:r>
    </w:p>
    <w:p>
      <w:pPr>
        <w:spacing w:after="90" w:before="0" w:line="265"/>
      </w:pPr>
      <w:r>
        <w:rPr>
          <w:rFonts w:ascii="Calibri" w:eastAsia="Microsoft YaHei"/>
          <w:b/>
          <w:bCs/>
          <w:i w:val="false"/>
          <w:iCs w:val="false"/>
          <w:color w:val="1B2229"/>
          <w:sz w:val="19"/>
          <w:szCs w:val="19"/>
        </w:rPr>
        <w:t xml:space="preserve">开启属性识别或 ReID 会在两个方面改变这一点，选型时必须先说清楚：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年龄段与性别在设备端推断，以聚合标签形式输出。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/>
          <w:bCs/>
          <w:i w:val="false"/>
          <w:iCs w:val="false"/>
          <w:color w:val="1B2229"/>
          <w:sz w:val="18"/>
          <w:szCs w:val="18"/>
        </w:rPr>
        <w:t xml:space="preserve">ReID 还会把人像抓拍图保存到设备本地存储</w:t>
      </w: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，并在推送数据中以文件名引用（如 CAM-A01_3.jpg）。也就是说，该功能开启期间设备确实保存图像。</w:t>
      </w:r>
    </w:p>
    <w:p>
      <w:pPr>
        <w:spacing w:after="90" w:before="0" w:line="265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9"/>
          <w:szCs w:val="19"/>
        </w:rPr>
        <w:t xml:space="preserve">两者在 GDPR 及同等法规下均构成个人数据处理：请先确认合法性基础，为本地抓拍图设定保留期限，并在隐私说明中如实披露。两项功能均可在设备配置中关闭，关闭后回到纯深度图计数。</w:t>
      </w:r>
    </w:p>
    <w:p>
      <w:pPr>
        <w:pStyle w:val="Heading2"/>
        <w:pBdr>
          <w:bottom w:val="single" w:color="0D6E7A" w:sz="8" w:space="4"/>
        </w:pBdr>
        <w:spacing w:after="95" w:before="230"/>
      </w:pPr>
      <w:r>
        <w:rPr>
          <w:rFonts w:ascii="Calibri" w:eastAsia="Microsoft YaHei"/>
          <w:b/>
          <w:bCs/>
          <w:i w:val="false"/>
          <w:iCs w:val="false"/>
          <w:color w:val="1B2229"/>
          <w:sz w:val="23"/>
          <w:szCs w:val="23"/>
        </w:rPr>
        <w:t xml:space="preserve">6  限制条件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安装高度超出 1.9 – 6.0 m 范围会影响统计精度。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光照剧烈变化和阳光长期直射可能影响设备正常工作。</w:t>
      </w:r>
    </w:p>
    <w:p>
      <w:pPr>
        <w:pStyle w:val="ListParagraph"/>
        <w:numPr>
          <w:ilvl w:val="0"/>
          <w:numId w:val="2"/>
        </w:numPr>
        <w:spacing w:after="40" w:line="25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8"/>
          <w:szCs w:val="18"/>
        </w:rPr>
        <w:t xml:space="preserve">极端拥挤情况下统计精度会受到一定影响。</w:t>
      </w:r>
    </w:p>
    <w:p>
      <w:pPr>
        <w:spacing w:after="80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2"/>
          <w:szCs w:val="2"/>
        </w:rPr>
        <w:t xml:space="preserve"> </w:t>
      </w:r>
    </w:p>
    <w:p>
      <w:pPr>
        <w:pStyle w:val="Heading2"/>
        <w:pBdr>
          <w:bottom w:val="single" w:color="0D6E7A" w:sz="8" w:space="4"/>
        </w:pBdr>
        <w:spacing w:after="95" w:before="230"/>
      </w:pPr>
      <w:r>
        <w:rPr>
          <w:rFonts w:ascii="Calibri" w:eastAsia="Microsoft YaHei"/>
          <w:b/>
          <w:bCs/>
          <w:i w:val="false"/>
          <w:iCs w:val="false"/>
          <w:color w:val="1B2229"/>
          <w:sz w:val="23"/>
          <w:szCs w:val="23"/>
        </w:rPr>
        <w:t xml:space="preserve">7  合规</w:t>
      </w:r>
    </w:p>
    <w:p>
      <w:pPr>
        <w:spacing w:after="90" w:before="0" w:line="265"/>
      </w:pPr>
      <w:r>
        <w:rPr>
          <w:rFonts w:ascii="Calibri" w:eastAsia="Microsoft YaHei"/>
          <w:b w:val="false"/>
          <w:bCs w:val="false"/>
          <w:i w:val="false"/>
          <w:iCs w:val="false"/>
          <w:color w:val="1B2229"/>
          <w:sz w:val="19"/>
          <w:szCs w:val="19"/>
        </w:rPr>
        <w:t xml:space="preserve">本型号不在现有 CE-RED 测试文件覆盖范围内。向欧盟报价前请先与我们确认制造商责任路径，详见《客流型号命名与品牌使用规范》第四节。</w:t>
      </w:r>
    </w:p>
    <w:sectPr>
      <w:footerReference w:type="default" r:id="rId7"/>
      <w:pgSz w:w="11906" w:h="16838" w:orient="portrait"/>
      <w:pgMar w:top="900" w:right="980" w:bottom="1000" w:left="9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2D8" w:sz="6" w:space="6"/>
      </w:pBdr>
    </w:pPr>
    <w:r>
      <w:rPr>
        <w:rFonts w:ascii="Calibri" w:eastAsia="Microsoft YaHei"/>
        <w:b w:val="false"/>
        <w:bCs w:val="false"/>
        <w:i w:val="false"/>
        <w:iCs w:val="false"/>
        <w:color w:val="5C6874"/>
        <w:sz w:val="14"/>
        <w:szCs w:val="14"/>
      </w:rPr>
      <w:t xml:space="preserve">广州攀攀科技有限公司  ·  pyroglaux.com  ·  PFC-R25 v1.1  ·  参数依据制造方 2026 年 9 月实时去重固件版参数表，如有变更恕不另行通知；准确率数字在上述安装高度与覆盖范围内有效。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20" w:hanging="19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YaHei"/>
        <w:color w:val="1B2229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f7bf07e245a067ea652c280cde8a05f26f5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2026-09-12T07:23:14.965Z</dcterms:created>
  <dcterms:modified xsi:type="dcterms:W3CDTF">2026-09-12T07:23:14.965Z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